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BA9F" w14:textId="77777777" w:rsidR="009E66F7" w:rsidRDefault="009E66F7" w:rsidP="00F23C6E">
      <w:pPr>
        <w:spacing w:after="0"/>
      </w:pPr>
    </w:p>
    <w:p w14:paraId="6AC0078C" w14:textId="5D303291" w:rsidR="00DE5F88" w:rsidRDefault="009C4431" w:rsidP="00F23C6E">
      <w:pPr>
        <w:spacing w:after="0"/>
      </w:pPr>
      <w:r>
        <w:t>Tisková zpráva MEDIAN</w:t>
      </w:r>
    </w:p>
    <w:p w14:paraId="6AC0078D" w14:textId="77777777" w:rsidR="00D30D70" w:rsidRDefault="00D30D70" w:rsidP="00F23C6E">
      <w:pPr>
        <w:spacing w:after="0"/>
      </w:pPr>
    </w:p>
    <w:p w14:paraId="6AC0078E" w14:textId="77777777" w:rsidR="00D30D70" w:rsidRPr="00D30D70" w:rsidRDefault="00D30D70" w:rsidP="00F23C6E">
      <w:pPr>
        <w:spacing w:after="0"/>
        <w:rPr>
          <w:b/>
          <w:bCs/>
          <w:sz w:val="28"/>
          <w:szCs w:val="28"/>
        </w:rPr>
      </w:pPr>
      <w:r w:rsidRPr="00D30D70">
        <w:rPr>
          <w:b/>
          <w:bCs/>
          <w:sz w:val="28"/>
          <w:szCs w:val="28"/>
        </w:rPr>
        <w:t>Výzkum postojů české veřejnosti k očkování proti chřipce</w:t>
      </w:r>
    </w:p>
    <w:p w14:paraId="6AC0078F" w14:textId="77777777" w:rsidR="00D30D70" w:rsidRDefault="00D30D70" w:rsidP="00F23C6E">
      <w:pPr>
        <w:spacing w:after="0"/>
        <w:rPr>
          <w:b/>
          <w:bCs/>
        </w:rPr>
      </w:pPr>
    </w:p>
    <w:p w14:paraId="6AC00790" w14:textId="77777777" w:rsidR="00AC1597" w:rsidRPr="001B2185" w:rsidRDefault="00AC1597" w:rsidP="001B218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B2185">
        <w:rPr>
          <w:b/>
          <w:bCs/>
        </w:rPr>
        <w:t>Onemocnění chřipkou většinově není podceňováno, ale často ho lidé vnímají jako problém pouze pro seniory.</w:t>
      </w:r>
    </w:p>
    <w:p w14:paraId="6AC00791" w14:textId="77777777" w:rsidR="00AC1597" w:rsidRPr="001B2185" w:rsidRDefault="00AC1597" w:rsidP="001B218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B2185">
        <w:rPr>
          <w:b/>
          <w:bCs/>
        </w:rPr>
        <w:t>Očkovat se někdy v minulosti nechala necelá třetina dotázaných, ale pravidelně každý rok se nechá očkovat pouze 14 % z celého vzorku.</w:t>
      </w:r>
    </w:p>
    <w:p w14:paraId="6AC00792" w14:textId="77777777" w:rsidR="001B2185" w:rsidRPr="001B2185" w:rsidRDefault="001B2185" w:rsidP="001B218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B2185">
        <w:rPr>
          <w:b/>
          <w:bCs/>
        </w:rPr>
        <w:t>V letošním roce plánuje očkování více než pětina (22 %) dotázaných, ale pouze necelá 3 % těch, kteří dosud očkováni nebyli.</w:t>
      </w:r>
    </w:p>
    <w:p w14:paraId="6AC00793" w14:textId="77777777" w:rsidR="001B2185" w:rsidRDefault="001B2185" w:rsidP="001B218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1B2185">
        <w:rPr>
          <w:b/>
          <w:bCs/>
        </w:rPr>
        <w:t>Nejčastějším důvodem pro očkování ochrana je před těžkým průběhem nemoci</w:t>
      </w:r>
      <w:r>
        <w:rPr>
          <w:b/>
          <w:bCs/>
        </w:rPr>
        <w:t xml:space="preserve">, snaha </w:t>
      </w:r>
      <w:r w:rsidRPr="001B2185">
        <w:rPr>
          <w:b/>
          <w:bCs/>
        </w:rPr>
        <w:t xml:space="preserve">předejít ztrátě výdělku </w:t>
      </w:r>
      <w:r>
        <w:rPr>
          <w:b/>
          <w:bCs/>
        </w:rPr>
        <w:t xml:space="preserve">/ zameškání studia </w:t>
      </w:r>
      <w:r w:rsidRPr="001B2185">
        <w:rPr>
          <w:b/>
          <w:bCs/>
        </w:rPr>
        <w:t>nebo vyřazení z běžných každodenních aktivit</w:t>
      </w:r>
      <w:r>
        <w:rPr>
          <w:b/>
          <w:bCs/>
        </w:rPr>
        <w:t xml:space="preserve"> anebo bylo </w:t>
      </w:r>
      <w:r w:rsidRPr="001B2185">
        <w:rPr>
          <w:b/>
          <w:bCs/>
        </w:rPr>
        <w:t>očkování doporučeno od lékaře</w:t>
      </w:r>
      <w:r>
        <w:rPr>
          <w:b/>
          <w:bCs/>
        </w:rPr>
        <w:t>.</w:t>
      </w:r>
    </w:p>
    <w:p w14:paraId="6AC00794" w14:textId="77777777" w:rsidR="001B2185" w:rsidRDefault="001B2185" w:rsidP="001B218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Nejčastějším </w:t>
      </w:r>
      <w:r w:rsidRPr="001B2185">
        <w:rPr>
          <w:b/>
          <w:bCs/>
        </w:rPr>
        <w:t>důvod</w:t>
      </w:r>
      <w:r>
        <w:rPr>
          <w:b/>
          <w:bCs/>
        </w:rPr>
        <w:t>em pro neočkování je</w:t>
      </w:r>
      <w:r w:rsidRPr="001B2185">
        <w:rPr>
          <w:b/>
          <w:bCs/>
        </w:rPr>
        <w:t xml:space="preserve">, že </w:t>
      </w:r>
      <w:r>
        <w:rPr>
          <w:b/>
          <w:bCs/>
        </w:rPr>
        <w:t xml:space="preserve">respondent </w:t>
      </w:r>
      <w:r w:rsidRPr="001B2185">
        <w:rPr>
          <w:b/>
          <w:bCs/>
        </w:rPr>
        <w:t>nemív</w:t>
      </w:r>
      <w:r>
        <w:rPr>
          <w:b/>
          <w:bCs/>
        </w:rPr>
        <w:t xml:space="preserve">á </w:t>
      </w:r>
      <w:r w:rsidRPr="001B2185">
        <w:rPr>
          <w:b/>
          <w:bCs/>
        </w:rPr>
        <w:t>chřipku</w:t>
      </w:r>
      <w:r>
        <w:rPr>
          <w:b/>
          <w:bCs/>
        </w:rPr>
        <w:t>, n</w:t>
      </w:r>
      <w:r w:rsidRPr="001B2185">
        <w:rPr>
          <w:b/>
          <w:bCs/>
        </w:rPr>
        <w:t>edůvě</w:t>
      </w:r>
      <w:r>
        <w:rPr>
          <w:b/>
          <w:bCs/>
        </w:rPr>
        <w:t xml:space="preserve">řuje dostatečnosti ochrany proti </w:t>
      </w:r>
      <w:r w:rsidR="00EF440F">
        <w:rPr>
          <w:b/>
          <w:bCs/>
        </w:rPr>
        <w:t>nemoci anebo se</w:t>
      </w:r>
      <w:r>
        <w:rPr>
          <w:b/>
          <w:bCs/>
        </w:rPr>
        <w:t xml:space="preserve"> domnívá, že n</w:t>
      </w:r>
      <w:r w:rsidRPr="001B2185">
        <w:rPr>
          <w:b/>
          <w:bCs/>
        </w:rPr>
        <w:t>epatří mezi rizikové skupiny</w:t>
      </w:r>
      <w:r>
        <w:rPr>
          <w:b/>
          <w:bCs/>
        </w:rPr>
        <w:t>.</w:t>
      </w:r>
    </w:p>
    <w:p w14:paraId="6AC00795" w14:textId="77777777" w:rsidR="001B2185" w:rsidRPr="001B2185" w:rsidRDefault="001B2185" w:rsidP="001B2185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Největšími motivátory očkování je </w:t>
      </w:r>
      <w:r w:rsidRPr="001B2185">
        <w:rPr>
          <w:b/>
          <w:bCs/>
        </w:rPr>
        <w:t xml:space="preserve">vlastní zkušenost s těžkým průběhem nemoci, ochrana zdraví blízkého </w:t>
      </w:r>
      <w:r>
        <w:rPr>
          <w:b/>
          <w:bCs/>
        </w:rPr>
        <w:t xml:space="preserve">a </w:t>
      </w:r>
      <w:r w:rsidR="00EF440F">
        <w:rPr>
          <w:b/>
          <w:bCs/>
        </w:rPr>
        <w:t> </w:t>
      </w:r>
      <w:r>
        <w:rPr>
          <w:b/>
          <w:bCs/>
        </w:rPr>
        <w:t>p</w:t>
      </w:r>
      <w:r w:rsidRPr="001B2185">
        <w:rPr>
          <w:b/>
          <w:bCs/>
        </w:rPr>
        <w:t xml:space="preserve">lná úhrada </w:t>
      </w:r>
      <w:r>
        <w:rPr>
          <w:b/>
          <w:bCs/>
        </w:rPr>
        <w:t>od zdravotní pojišťovny.</w:t>
      </w:r>
    </w:p>
    <w:p w14:paraId="6AC00796" w14:textId="77777777" w:rsidR="001B2185" w:rsidRDefault="001B2185" w:rsidP="00AC1597">
      <w:pPr>
        <w:spacing w:after="0"/>
        <w:rPr>
          <w:b/>
          <w:bCs/>
        </w:rPr>
      </w:pPr>
    </w:p>
    <w:p w14:paraId="6AC00797" w14:textId="77777777" w:rsidR="00AC1597" w:rsidRPr="00D30D70" w:rsidRDefault="00AC1597" w:rsidP="00AC1597">
      <w:pPr>
        <w:spacing w:after="0"/>
        <w:rPr>
          <w:b/>
          <w:bCs/>
        </w:rPr>
      </w:pPr>
    </w:p>
    <w:p w14:paraId="6AC00798" w14:textId="77777777" w:rsidR="00D30D70" w:rsidRPr="00D30D70" w:rsidRDefault="00D30D70" w:rsidP="00D30D70">
      <w:pPr>
        <w:spacing w:after="0"/>
      </w:pPr>
    </w:p>
    <w:p w14:paraId="6AC00799" w14:textId="77777777" w:rsidR="00D30D70" w:rsidRPr="00D30D70" w:rsidRDefault="00D30D70" w:rsidP="00D30D70">
      <w:pPr>
        <w:spacing w:after="0"/>
        <w:rPr>
          <w:b/>
          <w:bCs/>
        </w:rPr>
      </w:pPr>
      <w:r w:rsidRPr="00D30D70">
        <w:rPr>
          <w:b/>
          <w:bCs/>
        </w:rPr>
        <w:t>Vnímání chřipky</w:t>
      </w:r>
    </w:p>
    <w:p w14:paraId="6AC0079A" w14:textId="77777777" w:rsidR="00D30D70" w:rsidRDefault="001B2185" w:rsidP="00D30D70">
      <w:pPr>
        <w:spacing w:after="0"/>
      </w:pPr>
      <w:r w:rsidRPr="00D30D7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AC007BB" wp14:editId="6AC007BC">
            <wp:simplePos x="0" y="0"/>
            <wp:positionH relativeFrom="margin">
              <wp:posOffset>3200400</wp:posOffset>
            </wp:positionH>
            <wp:positionV relativeFrom="margin">
              <wp:posOffset>3951605</wp:posOffset>
            </wp:positionV>
            <wp:extent cx="3648075" cy="2343150"/>
            <wp:effectExtent l="0" t="0" r="0" b="0"/>
            <wp:wrapSquare wrapText="bothSides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AE90947-8BCC-4D2E-AF3E-9FA2FBC12E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70" w:rsidRPr="00D30D70">
        <w:t xml:space="preserve">Dvě třetiny dotázaných vnímají chřipku jako vážné onemocnění nebo onemocnění, které může mít vážný průběh. </w:t>
      </w:r>
    </w:p>
    <w:p w14:paraId="6AC0079B" w14:textId="77777777" w:rsidR="00D30D70" w:rsidRDefault="00D30D70" w:rsidP="00D30D70">
      <w:pPr>
        <w:spacing w:after="0"/>
      </w:pPr>
      <w:r w:rsidRPr="00D30D70">
        <w:t xml:space="preserve">Jako vážné ho vnímají nejčastěji respondenti nad 50 let, osoby s vysokoškolským vzděláním a respondenti, kteří se již někdy v minulosti nechali proti chřipce očkovat. </w:t>
      </w:r>
    </w:p>
    <w:p w14:paraId="6AC0079C" w14:textId="77777777" w:rsidR="00D30D70" w:rsidRDefault="00D30D70" w:rsidP="00D30D70">
      <w:pPr>
        <w:spacing w:after="0"/>
      </w:pPr>
      <w:r w:rsidRPr="00D30D70">
        <w:t xml:space="preserve">Možný vážný průběh, ale bez osobních obav, uvádějí častěji osoby do 50 let, vysokoškoláci a neočkovaní. Neočkovaní také zároveň nemoc významně častěji podceňují – jednu ze dvou „zlehčujících“ odpovědí uvedlo 38 % neočkovaných (mezi očkovanými takto odpověděla pětina -21 %). Hodnocení chřipky závisí i na tom, zda odpovídající patří do rizikové skupiny či nikoliv. Jako nejzávažnější ji hodnotí dvě pětiny těch, kteří do rizikové skupiny patří na rozdíl od ostatních, kde ji takto hodnotila pouze třetina. V rizikových skupinách ji nejvíce podceňují lidé, kteří žijí s dětmi, s odůvodněním, že chřipka ohrožuje jen seniory. </w:t>
      </w:r>
    </w:p>
    <w:p w14:paraId="6AC0079D" w14:textId="77777777" w:rsidR="00D30D70" w:rsidRDefault="00D30D70" w:rsidP="00D30D70">
      <w:pPr>
        <w:spacing w:after="0"/>
      </w:pPr>
    </w:p>
    <w:p w14:paraId="6AC0079E" w14:textId="77777777" w:rsidR="00D30D70" w:rsidRPr="00D30D70" w:rsidRDefault="00CA1B82" w:rsidP="00D30D70">
      <w:pPr>
        <w:spacing w:after="0"/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C007BD" wp14:editId="6AC007BE">
            <wp:simplePos x="0" y="0"/>
            <wp:positionH relativeFrom="margin">
              <wp:posOffset>3302635</wp:posOffset>
            </wp:positionH>
            <wp:positionV relativeFrom="margin">
              <wp:posOffset>7155180</wp:posOffset>
            </wp:positionV>
            <wp:extent cx="3543300" cy="22669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9" t="26381" r="8068" b="24949"/>
                    <a:stretch/>
                  </pic:blipFill>
                  <pic:spPr bwMode="auto">
                    <a:xfrm>
                      <a:off x="0" y="0"/>
                      <a:ext cx="354330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0D70" w:rsidRPr="00D30D70">
        <w:rPr>
          <w:b/>
          <w:bCs/>
        </w:rPr>
        <w:t>Očkování proti chřipce</w:t>
      </w:r>
    </w:p>
    <w:p w14:paraId="56D01433" w14:textId="77777777" w:rsidR="009E66F7" w:rsidRDefault="00D30D70" w:rsidP="00D30D70">
      <w:pPr>
        <w:spacing w:after="0"/>
      </w:pPr>
      <w:r w:rsidRPr="00D30D70">
        <w:t xml:space="preserve">Očkovat se někdy v minulosti nechala necelá třetina </w:t>
      </w:r>
      <w:r w:rsidR="00AD6A7C">
        <w:t>(30 </w:t>
      </w:r>
      <w:r w:rsidR="00645295">
        <w:t xml:space="preserve">%) </w:t>
      </w:r>
      <w:r w:rsidRPr="00D30D70">
        <w:t>dotázaných</w:t>
      </w:r>
      <w:r w:rsidR="00645295">
        <w:t>, č</w:t>
      </w:r>
      <w:r w:rsidR="00645295" w:rsidRPr="00645295">
        <w:t>astěji muži</w:t>
      </w:r>
      <w:r w:rsidR="00645295">
        <w:t xml:space="preserve"> (35 %)</w:t>
      </w:r>
      <w:r w:rsidR="00645295" w:rsidRPr="00645295">
        <w:t xml:space="preserve">, </w:t>
      </w:r>
      <w:r w:rsidR="00645295">
        <w:t xml:space="preserve">respondenti nad 65 let (53 %) a respondenti s vysokoškolským nebo středoškolským vzděláním s maturitou (33 %). </w:t>
      </w:r>
      <w:r w:rsidR="00B26402">
        <w:t>Mohlo by se zdát, že skutečnost, že jsou častěji očkovaní lidé z rizikové skupiny (33 %), je uspokojivá</w:t>
      </w:r>
      <w:r w:rsidR="00A62CBE">
        <w:t>. A</w:t>
      </w:r>
      <w:r w:rsidR="00B26402">
        <w:t xml:space="preserve">le </w:t>
      </w:r>
      <w:r w:rsidR="00B86D3D">
        <w:t xml:space="preserve">i když pomineme fakt, že dvě třetiny lidí z rizikové skupiny očkované nejsou, při detailní pohledu zjistíme, že i </w:t>
      </w:r>
      <w:r w:rsidR="00B26402">
        <w:t>v rámci této skupiny se v</w:t>
      </w:r>
      <w:r w:rsidR="00A0561A">
        <w:t>ýznamně podprůměrně nechali očkovat lidé, kteří žijí v domácnosti s dětmi (18 %)</w:t>
      </w:r>
      <w:r w:rsidR="00B26402">
        <w:t xml:space="preserve">. Málo </w:t>
      </w:r>
    </w:p>
    <w:p w14:paraId="317B3547" w14:textId="77777777" w:rsidR="009E66F7" w:rsidRDefault="009E66F7" w:rsidP="00D30D70">
      <w:pPr>
        <w:spacing w:after="0"/>
      </w:pPr>
    </w:p>
    <w:p w14:paraId="6AC0079F" w14:textId="07A3C9A3" w:rsidR="00A0561A" w:rsidRDefault="00A0561A" w:rsidP="00D30D70">
      <w:pPr>
        <w:spacing w:after="0"/>
      </w:pPr>
      <w:r>
        <w:lastRenderedPageBreak/>
        <w:t xml:space="preserve">dostatečná je i proočkovanost respondentů ve věku </w:t>
      </w:r>
      <w:proofErr w:type="gramStart"/>
      <w:r>
        <w:t>61 - 65</w:t>
      </w:r>
      <w:proofErr w:type="gramEnd"/>
      <w:r>
        <w:t xml:space="preserve"> let (29 %).</w:t>
      </w:r>
    </w:p>
    <w:p w14:paraId="6AC007A0" w14:textId="77777777" w:rsidR="000D0624" w:rsidRDefault="00B86D3D" w:rsidP="00D30D70">
      <w:pPr>
        <w:spacing w:after="0"/>
      </w:pPr>
      <w:r w:rsidRPr="00B86D3D">
        <w:t>Téměř polovina očkovaných se nechá</w:t>
      </w:r>
      <w:r>
        <w:t xml:space="preserve">vá očkovat pravidelně každý rok. Pokud však tento údaj přepočítáme na všechny respondenty, zjistíme, že </w:t>
      </w:r>
      <w:r w:rsidRPr="00B86D3D">
        <w:t>pravidelně každý rok se nechává očkovat proti chřipce 14 %.</w:t>
      </w:r>
      <w:r w:rsidR="00A70214">
        <w:t xml:space="preserve"> Nejčastěji se nechávají pravidelně očkovat nejstarší (</w:t>
      </w:r>
      <w:r w:rsidR="00A70214" w:rsidRPr="00A70214">
        <w:t>66 - 70 let</w:t>
      </w:r>
      <w:r w:rsidR="00A70214">
        <w:t xml:space="preserve">=26 % a </w:t>
      </w:r>
      <w:r w:rsidR="00AD6A7C">
        <w:t>71 a </w:t>
      </w:r>
      <w:r w:rsidR="00A70214" w:rsidRPr="00A70214">
        <w:t>více let</w:t>
      </w:r>
      <w:r w:rsidR="00A70214">
        <w:t xml:space="preserve"> 38 %). U lidí z rizikové skupiny celkem se jedná o 16 %, přičemž zdraví respondenti žijící s někým z rizikové skupiny </w:t>
      </w:r>
      <w:r w:rsidR="005B7ED0">
        <w:t xml:space="preserve">se pravidelně očkují </w:t>
      </w:r>
      <w:r w:rsidR="00A70214">
        <w:t>ve 12 %</w:t>
      </w:r>
      <w:r w:rsidR="005B7ED0">
        <w:t xml:space="preserve"> a </w:t>
      </w:r>
      <w:r w:rsidR="00A70214">
        <w:t>respondenti žijící dětmi</w:t>
      </w:r>
      <w:r w:rsidR="005B7ED0">
        <w:t xml:space="preserve"> pouze</w:t>
      </w:r>
      <w:r w:rsidR="00A70214">
        <w:t xml:space="preserve"> ve 4 % případů</w:t>
      </w:r>
      <w:r w:rsidR="005B7ED0">
        <w:t>.</w:t>
      </w:r>
    </w:p>
    <w:p w14:paraId="6AC007A1" w14:textId="77777777" w:rsidR="00EF440F" w:rsidRDefault="00CA1B82" w:rsidP="00D30D70">
      <w:pPr>
        <w:spacing w:after="0"/>
        <w:rPr>
          <w:b/>
          <w:bCs/>
        </w:rPr>
      </w:pPr>
      <w:r w:rsidRPr="00551021">
        <w:rPr>
          <w:b/>
          <w:bCs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AC007BF" wp14:editId="6AC007C0">
            <wp:simplePos x="0" y="0"/>
            <wp:positionH relativeFrom="margin">
              <wp:posOffset>3712210</wp:posOffset>
            </wp:positionH>
            <wp:positionV relativeFrom="margin">
              <wp:posOffset>1244600</wp:posOffset>
            </wp:positionV>
            <wp:extent cx="3429000" cy="1990725"/>
            <wp:effectExtent l="0" t="0" r="0" b="0"/>
            <wp:wrapSquare wrapText="bothSides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8AE90947-8BCC-4D2E-AF3E-9FA2FBC12E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AC007A2" w14:textId="77777777" w:rsidR="000D0624" w:rsidRDefault="000D0624" w:rsidP="00D30D70">
      <w:pPr>
        <w:spacing w:after="0"/>
        <w:rPr>
          <w:b/>
          <w:bCs/>
        </w:rPr>
      </w:pPr>
      <w:r>
        <w:rPr>
          <w:b/>
          <w:bCs/>
        </w:rPr>
        <w:t>P</w:t>
      </w:r>
      <w:r w:rsidRPr="000D0624">
        <w:rPr>
          <w:b/>
          <w:bCs/>
        </w:rPr>
        <w:t>lánované očkování proti chřipce</w:t>
      </w:r>
    </w:p>
    <w:p w14:paraId="6AC007A3" w14:textId="77777777" w:rsidR="000D0624" w:rsidRPr="000D0624" w:rsidRDefault="000D0624" w:rsidP="000D0624">
      <w:pPr>
        <w:spacing w:after="0"/>
      </w:pPr>
      <w:r>
        <w:t xml:space="preserve">Na otázku </w:t>
      </w:r>
      <w:r w:rsidR="00AD6A7C">
        <w:t>„</w:t>
      </w:r>
      <w:r w:rsidRPr="000D0624">
        <w:t>Plánujete se letos očkovat proti chřipce?</w:t>
      </w:r>
      <w:r w:rsidR="00AD6A7C">
        <w:t>“</w:t>
      </w:r>
      <w:r>
        <w:t xml:space="preserve"> odpověděla kladně </w:t>
      </w:r>
      <w:r w:rsidRPr="000D0624">
        <w:t xml:space="preserve">více než pětina </w:t>
      </w:r>
      <w:r>
        <w:t xml:space="preserve">(22 %) </w:t>
      </w:r>
      <w:r w:rsidRPr="000D0624">
        <w:t>dotázaných, častěji muži</w:t>
      </w:r>
      <w:r>
        <w:t xml:space="preserve"> (26 %)</w:t>
      </w:r>
      <w:r w:rsidRPr="000D0624">
        <w:t>, nejstarší respondenti</w:t>
      </w:r>
      <w:r>
        <w:t xml:space="preserve"> (</w:t>
      </w:r>
      <w:r w:rsidR="00AD6A7C">
        <w:t>44 %)</w:t>
      </w:r>
      <w:r w:rsidR="00AD6A7C" w:rsidRPr="000D0624">
        <w:t xml:space="preserve"> a respondenti</w:t>
      </w:r>
      <w:r w:rsidRPr="000D0624">
        <w:t>, kteří patří do rizikové skupiny buď sami</w:t>
      </w:r>
      <w:r>
        <w:t xml:space="preserve"> (32 %)</w:t>
      </w:r>
      <w:r w:rsidRPr="000D0624">
        <w:t>, nebo spolu s někým v</w:t>
      </w:r>
      <w:r>
        <w:t> </w:t>
      </w:r>
      <w:r w:rsidRPr="000D0624">
        <w:t>domácnosti</w:t>
      </w:r>
      <w:r>
        <w:t xml:space="preserve"> (40 %)</w:t>
      </w:r>
      <w:r w:rsidRPr="000D0624">
        <w:t xml:space="preserve">. Významně častěji se plánují nechat očkovat respondenti, kteří již očkováni byli </w:t>
      </w:r>
      <w:r>
        <w:t>(67</w:t>
      </w:r>
      <w:r w:rsidR="00551021">
        <w:t> </w:t>
      </w:r>
      <w:r>
        <w:t xml:space="preserve">%), </w:t>
      </w:r>
      <w:r w:rsidRPr="000D0624">
        <w:t xml:space="preserve">ale i mezi nimi je čtvrtina těch, kteří to již neplánují. </w:t>
      </w:r>
      <w:r>
        <w:t xml:space="preserve"> </w:t>
      </w:r>
      <w:r w:rsidR="00551021">
        <w:br/>
      </w:r>
      <w:r w:rsidRPr="000D0624">
        <w:t xml:space="preserve">Z neočkovaných </w:t>
      </w:r>
      <w:r w:rsidR="00AD6A7C">
        <w:t xml:space="preserve">se </w:t>
      </w:r>
      <w:r w:rsidRPr="000D0624">
        <w:t>plánují nechat letos očkovat necelá 3</w:t>
      </w:r>
      <w:r>
        <w:t> </w:t>
      </w:r>
      <w:r w:rsidRPr="000D0624">
        <w:t>%.</w:t>
      </w:r>
    </w:p>
    <w:p w14:paraId="6AC007A4" w14:textId="77777777" w:rsidR="000D0624" w:rsidRPr="000D0624" w:rsidRDefault="000D0624" w:rsidP="00D30D70">
      <w:pPr>
        <w:spacing w:after="0"/>
        <w:rPr>
          <w:b/>
          <w:bCs/>
        </w:rPr>
      </w:pPr>
    </w:p>
    <w:p w14:paraId="6AC007A5" w14:textId="77777777" w:rsidR="00E055CF" w:rsidRDefault="00E055CF" w:rsidP="00D30D70">
      <w:pPr>
        <w:spacing w:after="0"/>
      </w:pPr>
    </w:p>
    <w:p w14:paraId="6AC007A6" w14:textId="77777777" w:rsidR="00E055CF" w:rsidRPr="00E055CF" w:rsidRDefault="00E055CF" w:rsidP="00D30D70">
      <w:pPr>
        <w:spacing w:after="0"/>
        <w:rPr>
          <w:b/>
          <w:bCs/>
        </w:rPr>
      </w:pPr>
      <w:r w:rsidRPr="00E055CF">
        <w:rPr>
          <w:b/>
          <w:bCs/>
        </w:rPr>
        <w:t>Důvody pro a proti</w:t>
      </w:r>
    </w:p>
    <w:p w14:paraId="6AC007A7" w14:textId="77777777" w:rsidR="00E055CF" w:rsidRDefault="00E055CF" w:rsidP="00D30D70">
      <w:pPr>
        <w:spacing w:after="0"/>
      </w:pPr>
      <w:r w:rsidRPr="00E055CF">
        <w:t xml:space="preserve">Téměř polovina očkovaných se nechává očkovat proto, že </w:t>
      </w:r>
      <w:r w:rsidR="005A64E0">
        <w:t xml:space="preserve">je </w:t>
      </w:r>
      <w:r w:rsidRPr="00E055CF">
        <w:t xml:space="preserve">očkování chrání před těžkým průběhem nemoci - nejčastěji </w:t>
      </w:r>
      <w:r>
        <w:t xml:space="preserve">takto odpovídají </w:t>
      </w:r>
      <w:r w:rsidRPr="00E055CF">
        <w:t xml:space="preserve">respondenti nad 60 let. 3 z 10 respondentů chtějí </w:t>
      </w:r>
      <w:r>
        <w:t xml:space="preserve">očkováním </w:t>
      </w:r>
      <w:r w:rsidRPr="00E055CF">
        <w:t xml:space="preserve">předejít ztrátě výdělku </w:t>
      </w:r>
      <w:r>
        <w:t xml:space="preserve">ze zaměstnání, rušení dovolené nebo </w:t>
      </w:r>
      <w:r w:rsidRPr="00E055CF">
        <w:t>vyřazení z bě</w:t>
      </w:r>
      <w:r>
        <w:t xml:space="preserve">žných každodenních aktivit - </w:t>
      </w:r>
      <w:r w:rsidRPr="00E055CF">
        <w:t>především lidé do 50 let a významně nadprůměrně i nejmladší ve věku 18 - 25 let, kteří nechtějí zameškat školu.  Podobný podíl měl očkování doporučeno od lékaře, především ti, kteří osobně patří do rizikové skupiny.</w:t>
      </w:r>
      <w:r w:rsidR="00A70214">
        <w:t xml:space="preserve"> To ukazuje na dobrou práci praktických lékařů, kteří svým pacientům, pokud patří do rizikové skupiny, očkování doporučí. Pokud však sám respondent do rizikové skupiny nepatří a jen s takovou osobou žije, nemá dostatek potřebných informací. </w:t>
      </w:r>
      <w:r w:rsidR="005B7ED0">
        <w:t xml:space="preserve">K tomu se přidává i skutečnost, že vakcinace hrazená pojišťovnou se ho netýká. </w:t>
      </w:r>
      <w:r w:rsidR="00AD6A7C">
        <w:t xml:space="preserve">Pětina očkovaných </w:t>
      </w:r>
      <w:r w:rsidR="00F45B3C">
        <w:t xml:space="preserve">se nechává očkovat z </w:t>
      </w:r>
      <w:r w:rsidR="00AD6A7C">
        <w:t>důvod</w:t>
      </w:r>
      <w:r w:rsidR="00F45B3C">
        <w:t xml:space="preserve">u, že nechce </w:t>
      </w:r>
      <w:r w:rsidR="00F45B3C" w:rsidRPr="00F45B3C">
        <w:t>nakazit svou rodinu a ohrozit tak zejména starší členy</w:t>
      </w:r>
      <w:r w:rsidR="00F45B3C">
        <w:t xml:space="preserve"> a necelou desetinu (8 %) přiměla k očkování vlastní zkušenost s těžkým průběhem nemoci. Někteří</w:t>
      </w:r>
      <w:r w:rsidR="005B7ED0">
        <w:t xml:space="preserve"> dotázan</w:t>
      </w:r>
      <w:r w:rsidR="00F45B3C">
        <w:t>í</w:t>
      </w:r>
      <w:r w:rsidR="005B7ED0">
        <w:t xml:space="preserve"> spontánně uvedl</w:t>
      </w:r>
      <w:r w:rsidR="00F45B3C">
        <w:t>i</w:t>
      </w:r>
      <w:r w:rsidR="005B7ED0">
        <w:t>, že důvodem pro očkování je aktivita jejich zaměstnavatele, ať už je to plná nebo částečná úhrada</w:t>
      </w:r>
      <w:r w:rsidR="005A64E0">
        <w:t xml:space="preserve"> ve formě různých benefitů. P</w:t>
      </w:r>
      <w:r w:rsidR="005B7ED0">
        <w:t>omáhá</w:t>
      </w:r>
      <w:r w:rsidR="005A64E0">
        <w:t xml:space="preserve"> však</w:t>
      </w:r>
      <w:r w:rsidR="005B7ED0">
        <w:t xml:space="preserve"> i organizace</w:t>
      </w:r>
      <w:r w:rsidR="005A64E0">
        <w:t xml:space="preserve"> očkování, čímž respondentovi odpadne nutnost objednávat </w:t>
      </w:r>
      <w:r w:rsidR="00F45B3C">
        <w:t xml:space="preserve">se </w:t>
      </w:r>
      <w:r w:rsidR="005A64E0">
        <w:t>a navštěvovat svého praktika. V ojedinělých případech je očkování proti chřipce zaměstnavatelem přímo nařízeno.</w:t>
      </w:r>
    </w:p>
    <w:p w14:paraId="6AC007A8" w14:textId="77777777" w:rsidR="005A64E0" w:rsidRDefault="005A64E0" w:rsidP="005A64E0">
      <w:pPr>
        <w:spacing w:after="0"/>
        <w:rPr>
          <w:i/>
        </w:rPr>
      </w:pPr>
      <w:r w:rsidRPr="005A64E0">
        <w:t xml:space="preserve">Třetina těch, kteří se nedávají očkovat, uvádí </w:t>
      </w:r>
      <w:r>
        <w:t>jako</w:t>
      </w:r>
      <w:r w:rsidRPr="005A64E0">
        <w:t xml:space="preserve"> důvod, že nemívají chřipku (nejčastěji </w:t>
      </w:r>
      <w:r>
        <w:t xml:space="preserve">takto odpovídají </w:t>
      </w:r>
      <w:r w:rsidRPr="005A64E0">
        <w:t>respondenti ve věku 66 - 70 let</w:t>
      </w:r>
      <w:r>
        <w:t xml:space="preserve"> (!)</w:t>
      </w:r>
      <w:r w:rsidRPr="005A64E0">
        <w:t xml:space="preserve"> a </w:t>
      </w:r>
      <w:r>
        <w:t>lidé s vysokoškolským vzděláním</w:t>
      </w:r>
      <w:r w:rsidRPr="005A64E0">
        <w:t>). Nedůvěru v ochranu deklaruj</w:t>
      </w:r>
      <w:r>
        <w:t xml:space="preserve">e čtvrtina neočkovaných, </w:t>
      </w:r>
      <w:r w:rsidRPr="005A64E0">
        <w:t xml:space="preserve">nejvíce respondenti ve věku 26 – 50 let. Odpověď „Nepatřím mezi rizikové skupiny onemocněním chřipky“ uvedli nejčastěji nejmladší respondenti a vysokoškoláci, ale i čtvrtina těch, kteří do rizikové skupiny patří (zejména </w:t>
      </w:r>
      <w:r>
        <w:t xml:space="preserve">již zmiňovaní </w:t>
      </w:r>
      <w:r w:rsidRPr="005A64E0">
        <w:t>respondent</w:t>
      </w:r>
      <w:r>
        <w:t xml:space="preserve">i, kteří sami </w:t>
      </w:r>
      <w:r w:rsidRPr="005A64E0">
        <w:t>do rizikové skupiny nepatří</w:t>
      </w:r>
      <w:r>
        <w:t>,</w:t>
      </w:r>
      <w:r w:rsidRPr="005A64E0">
        <w:t xml:space="preserve"> a</w:t>
      </w:r>
      <w:r>
        <w:t xml:space="preserve">le </w:t>
      </w:r>
      <w:r w:rsidRPr="005A64E0">
        <w:t>s takovou osobou žij</w:t>
      </w:r>
      <w:r>
        <w:t xml:space="preserve">í, nebo respondenti žijící s dětmi). </w:t>
      </w:r>
      <w:r w:rsidR="00F45B3C">
        <w:t>Čtvrtina neočkovaných se domnívá, že „</w:t>
      </w:r>
      <w:r w:rsidR="00F45B3C" w:rsidRPr="00F45B3C">
        <w:t>proti chřipce to není potřeba</w:t>
      </w:r>
      <w:r w:rsidR="00F45B3C">
        <w:t>“, 16 % dotázaných má obavy z vedlejších účinků (a 6 % uvádí osobní negativní zkušenost s vedlejšími účinky) a desetina (11 %) má „</w:t>
      </w:r>
      <w:r w:rsidR="00F45B3C" w:rsidRPr="00F45B3C">
        <w:t>negativní postoj k očkování jako takovému</w:t>
      </w:r>
      <w:r w:rsidR="00F45B3C">
        <w:t xml:space="preserve">“. </w:t>
      </w:r>
      <w:r w:rsidR="006D12D3">
        <w:t xml:space="preserve">5 – 7 % </w:t>
      </w:r>
      <w:r w:rsidR="00F45B3C">
        <w:t>neočkovaných uvádí jako důvod „zvyšuji obranyschopnost organismu jinak“, „nikdo v mém okolí se neočkuje proti chřipce“, „očkování proti chřipce nemám hrazené od pojišťovny</w:t>
      </w:r>
      <w:r w:rsidR="006D12D3">
        <w:t>“, „d</w:t>
      </w:r>
      <w:r w:rsidR="00F45B3C">
        <w:t>ostat se k praktickému lékaři je pro mě časově náročné</w:t>
      </w:r>
      <w:r w:rsidR="006D12D3">
        <w:t>“, „</w:t>
      </w:r>
      <w:r w:rsidR="00F45B3C">
        <w:t xml:space="preserve">Nesnáším“ </w:t>
      </w:r>
      <w:r w:rsidR="006D12D3">
        <w:t>injekce a „nechodím</w:t>
      </w:r>
      <w:r w:rsidR="00F45B3C">
        <w:t xml:space="preserve"> příliš mezi lidi, na místa, kde bych se mohl nakazit</w:t>
      </w:r>
      <w:r w:rsidR="006D12D3">
        <w:t xml:space="preserve">“. </w:t>
      </w:r>
      <w:r w:rsidRPr="005A64E0">
        <w:t xml:space="preserve">Jako </w:t>
      </w:r>
      <w:r>
        <w:t>spontánně uvedený</w:t>
      </w:r>
      <w:r w:rsidRPr="005A64E0">
        <w:t xml:space="preserve"> důvod respondenti často jmenovali neúčinnost na nové kmeny virů</w:t>
      </w:r>
      <w:r>
        <w:t xml:space="preserve"> a s tím související nutnost očkování každý rok</w:t>
      </w:r>
      <w:r w:rsidRPr="005A64E0">
        <w:t xml:space="preserve">, negativní zkušenosti z okolí, ale </w:t>
      </w:r>
      <w:r w:rsidR="00E357C4">
        <w:t xml:space="preserve">také </w:t>
      </w:r>
      <w:r w:rsidRPr="005A64E0">
        <w:t xml:space="preserve">i neznalost, jak </w:t>
      </w:r>
      <w:r w:rsidR="00E357C4">
        <w:t>si očkování</w:t>
      </w:r>
      <w:r w:rsidRPr="005A64E0">
        <w:t xml:space="preserve"> zařídit, malá </w:t>
      </w:r>
      <w:r w:rsidR="00E357C4">
        <w:t xml:space="preserve">celková </w:t>
      </w:r>
      <w:r w:rsidRPr="005A64E0">
        <w:t xml:space="preserve">informovanost a dokonce </w:t>
      </w:r>
      <w:r w:rsidR="00561F03">
        <w:t xml:space="preserve">v jednom případě </w:t>
      </w:r>
      <w:r w:rsidRPr="005A64E0">
        <w:t xml:space="preserve">i </w:t>
      </w:r>
      <w:r w:rsidRPr="00E357C4">
        <w:rPr>
          <w:i/>
        </w:rPr>
        <w:t>„nezbyla na mě vakcína“.</w:t>
      </w:r>
    </w:p>
    <w:p w14:paraId="6AC007A9" w14:textId="77777777" w:rsidR="00561F03" w:rsidRDefault="00561F03" w:rsidP="005A64E0">
      <w:pPr>
        <w:spacing w:after="0"/>
        <w:rPr>
          <w:i/>
        </w:rPr>
      </w:pPr>
    </w:p>
    <w:p w14:paraId="6AC007AA" w14:textId="77777777" w:rsidR="00561F03" w:rsidRPr="00561F03" w:rsidRDefault="00561F03" w:rsidP="005A64E0">
      <w:pPr>
        <w:spacing w:after="0"/>
        <w:rPr>
          <w:b/>
          <w:bCs/>
        </w:rPr>
      </w:pPr>
      <w:r>
        <w:rPr>
          <w:b/>
          <w:bCs/>
        </w:rPr>
        <w:t>M</w:t>
      </w:r>
      <w:r w:rsidRPr="00561F03">
        <w:rPr>
          <w:b/>
          <w:bCs/>
        </w:rPr>
        <w:t>otivace k očkování neočkovaných</w:t>
      </w:r>
    </w:p>
    <w:p w14:paraId="34F2EE48" w14:textId="77777777" w:rsidR="000D3A98" w:rsidRDefault="00561F03" w:rsidP="005A64E0">
      <w:pPr>
        <w:spacing w:after="0"/>
      </w:pPr>
      <w:r w:rsidRPr="00561F03">
        <w:t>Téměř polovinu neočkovaných by k očkování motivovala vlastní zkušenost s těžkým průběhem</w:t>
      </w:r>
      <w:r>
        <w:t xml:space="preserve"> nemoci</w:t>
      </w:r>
      <w:r w:rsidRPr="00561F03">
        <w:t>,</w:t>
      </w:r>
      <w:r>
        <w:t xml:space="preserve"> n</w:t>
      </w:r>
      <w:r w:rsidRPr="00561F03">
        <w:t>ásleduje ochrana zdraví blízkého – tento důvod uvádí</w:t>
      </w:r>
      <w:r>
        <w:t xml:space="preserve"> 43 % dotázaných,</w:t>
      </w:r>
      <w:r w:rsidRPr="00561F03">
        <w:t xml:space="preserve"> nejčastěji respondenti do </w:t>
      </w:r>
      <w:proofErr w:type="gramStart"/>
      <w:r w:rsidRPr="00561F03">
        <w:t>30ti</w:t>
      </w:r>
      <w:proofErr w:type="gramEnd"/>
      <w:r w:rsidRPr="00561F03">
        <w:t xml:space="preserve"> let a poněkud </w:t>
      </w:r>
    </w:p>
    <w:p w14:paraId="710CB8B9" w14:textId="77777777" w:rsidR="000D3A98" w:rsidRDefault="000D3A98" w:rsidP="005A64E0">
      <w:pPr>
        <w:spacing w:after="0"/>
      </w:pPr>
    </w:p>
    <w:p w14:paraId="6AC007AB" w14:textId="66AC0A1C" w:rsidR="000D0624" w:rsidRDefault="00561F03" w:rsidP="005A64E0">
      <w:pPr>
        <w:spacing w:after="0"/>
        <w:rPr>
          <w:i/>
        </w:rPr>
      </w:pPr>
      <w:r w:rsidRPr="00561F03">
        <w:lastRenderedPageBreak/>
        <w:t xml:space="preserve">paradoxně i více než polovina těch, kteří s někým z rizikové skupiny žijí. Plná úhrada by motivovala </w:t>
      </w:r>
      <w:r>
        <w:t xml:space="preserve">více než </w:t>
      </w:r>
      <w:r w:rsidRPr="00561F03">
        <w:t xml:space="preserve">třetinu neočkovaných, nejčastěji </w:t>
      </w:r>
      <w:r>
        <w:t>nejmladší do</w:t>
      </w:r>
      <w:r w:rsidRPr="00561F03">
        <w:t xml:space="preserve"> 35 let</w:t>
      </w:r>
      <w:r>
        <w:t xml:space="preserve"> a </w:t>
      </w:r>
      <w:r w:rsidRPr="00561F03">
        <w:t>respondenty mimo rizikovou skupinu nebo žijící s někým z rizikové skupiny anebo s dětmi.</w:t>
      </w:r>
      <w:r>
        <w:t xml:space="preserve"> </w:t>
      </w:r>
      <w:r w:rsidR="006D12D3" w:rsidRPr="006D12D3">
        <w:t xml:space="preserve">Doporučení lékaře nebo lékárníka </w:t>
      </w:r>
      <w:r w:rsidR="006D12D3">
        <w:t xml:space="preserve">uvedlo 31 % neočkovaných, necelá desetina (9 %) označila </w:t>
      </w:r>
      <w:r w:rsidR="006D12D3" w:rsidRPr="006D12D3">
        <w:t>širší a dostupnější síť očkovacích míst</w:t>
      </w:r>
      <w:r w:rsidR="006D12D3">
        <w:t xml:space="preserve"> a vzor v okolí. 8 % by motivovala možnost nechat </w:t>
      </w:r>
      <w:r w:rsidR="006D12D3" w:rsidRPr="006D12D3">
        <w:t>se očkovat po práci, o víkendech – mimo běžné ordinační hodiny lékaře</w:t>
      </w:r>
      <w:r w:rsidR="006D12D3">
        <w:t xml:space="preserve">.  </w:t>
      </w:r>
      <w:r w:rsidRPr="00561F03">
        <w:rPr>
          <w:i/>
        </w:rPr>
        <w:t>(Součet odpovědí je více než 100</w:t>
      </w:r>
      <w:r w:rsidR="00B10278">
        <w:rPr>
          <w:i/>
        </w:rPr>
        <w:t xml:space="preserve"> %</w:t>
      </w:r>
      <w:r w:rsidRPr="00561F03">
        <w:rPr>
          <w:i/>
        </w:rPr>
        <w:t>, protože respondenti mohli uvést až 3 motivátory.)</w:t>
      </w:r>
    </w:p>
    <w:p w14:paraId="6AC007AC" w14:textId="77777777" w:rsidR="00EF440F" w:rsidRDefault="00EF440F" w:rsidP="005A64E0">
      <w:pPr>
        <w:spacing w:after="0"/>
        <w:rPr>
          <w:i/>
        </w:rPr>
      </w:pPr>
    </w:p>
    <w:p w14:paraId="6AC007AD" w14:textId="77777777" w:rsidR="000D0624" w:rsidRDefault="007E5749" w:rsidP="005A64E0">
      <w:pPr>
        <w:spacing w:after="0"/>
        <w:rPr>
          <w:b/>
          <w:bCs/>
        </w:rPr>
      </w:pPr>
      <w:r>
        <w:rPr>
          <w:b/>
          <w:bCs/>
        </w:rPr>
        <w:t>D</w:t>
      </w:r>
      <w:r w:rsidR="000D0624" w:rsidRPr="000D0624">
        <w:rPr>
          <w:b/>
          <w:bCs/>
        </w:rPr>
        <w:t>ůvody nízké proočkovanosti</w:t>
      </w:r>
      <w:r>
        <w:rPr>
          <w:b/>
          <w:bCs/>
        </w:rPr>
        <w:t xml:space="preserve"> podle názoru respondentů </w:t>
      </w:r>
    </w:p>
    <w:p w14:paraId="6AC007AE" w14:textId="77777777" w:rsidR="007E5749" w:rsidRPr="007E5749" w:rsidRDefault="007E5749" w:rsidP="005A64E0">
      <w:pPr>
        <w:spacing w:after="0"/>
      </w:pPr>
      <w:r w:rsidRPr="007E5749">
        <w:t xml:space="preserve">V jedné otázce byli respondenti </w:t>
      </w:r>
      <w:r>
        <w:t xml:space="preserve">seznámeni s doporučením WHO a situací v ČR </w:t>
      </w:r>
      <w:r w:rsidRPr="007E5749">
        <w:t>(</w:t>
      </w:r>
      <w:r w:rsidRPr="007E5749">
        <w:rPr>
          <w:i/>
        </w:rPr>
        <w:t>„V ČR j</w:t>
      </w:r>
      <w:r w:rsidR="008B4DB9">
        <w:rPr>
          <w:i/>
        </w:rPr>
        <w:t>e proočkovanost proti chřipce u </w:t>
      </w:r>
      <w:r w:rsidRPr="007E5749">
        <w:rPr>
          <w:i/>
        </w:rPr>
        <w:t>celé populace pouhých 6 %, zatímco doporučená proočkovanost Světové zdravotnické organizace (WHO) je 30 %. Mezi seniory nad 65 let je v ČR proočkovanost 21 % a WHO doporučuje minimálně 7</w:t>
      </w:r>
      <w:r>
        <w:rPr>
          <w:i/>
        </w:rPr>
        <w:t>5 %. Naopak v zemích na západ a </w:t>
      </w:r>
      <w:r w:rsidRPr="007E5749">
        <w:rPr>
          <w:i/>
        </w:rPr>
        <w:t>jih od nás této proočkovanosti dosahují nebo se jí alespoň blíží.“</w:t>
      </w:r>
      <w:r>
        <w:t xml:space="preserve">) a položena otázka: </w:t>
      </w:r>
      <w:r w:rsidRPr="007E5749">
        <w:t xml:space="preserve"> </w:t>
      </w:r>
      <w:r>
        <w:t>„</w:t>
      </w:r>
      <w:r w:rsidRPr="007E5749">
        <w:t>Proč se podle vás lidé v ČR proti chřipce neočkují?</w:t>
      </w:r>
      <w:r>
        <w:t xml:space="preserve">“ </w:t>
      </w:r>
      <w:r w:rsidRPr="007E5749">
        <w:t xml:space="preserve">Více než polovina </w:t>
      </w:r>
      <w:r>
        <w:t xml:space="preserve">(57 %) </w:t>
      </w:r>
      <w:r w:rsidRPr="007E5749">
        <w:t xml:space="preserve">dotázaných se domnívá, že důvodem pro malou proočkovanost je nedůvěra v očkování, </w:t>
      </w:r>
      <w:r>
        <w:t xml:space="preserve">významně </w:t>
      </w:r>
      <w:r w:rsidRPr="007E5749">
        <w:t xml:space="preserve">častěji </w:t>
      </w:r>
      <w:r>
        <w:t xml:space="preserve">tuto možnost označili </w:t>
      </w:r>
      <w:r w:rsidRPr="007E5749">
        <w:t xml:space="preserve">lidé z rizikových skupin, především </w:t>
      </w:r>
      <w:r>
        <w:t>v případě, kdy je respondent zdráv, ale žije s někým z rizikové skupiny, nebo respondenti z domácností s dětmi.</w:t>
      </w:r>
      <w:r w:rsidRPr="007E5749">
        <w:t xml:space="preserve"> Podceňování chřipky </w:t>
      </w:r>
      <w:r>
        <w:t xml:space="preserve">označila polovina (50 %) dotázaných, </w:t>
      </w:r>
      <w:r w:rsidRPr="007E5749">
        <w:t>častěji muži a vzdělanější respondenti, obyvatelé největších měst, respondenti, kteří jsou osobně v riz</w:t>
      </w:r>
      <w:r>
        <w:t>ikové</w:t>
      </w:r>
      <w:r w:rsidRPr="007E5749">
        <w:t xml:space="preserve"> skupině, a očkovaní.</w:t>
      </w:r>
      <w:r w:rsidR="008B4DB9">
        <w:t xml:space="preserve"> Třetím nejčastějším důvodem je podle respondentů skutečnost, že o</w:t>
      </w:r>
      <w:r w:rsidR="008B4DB9" w:rsidRPr="008B4DB9">
        <w:t>čkování proti chřipce nemají hrazené všichni občané</w:t>
      </w:r>
      <w:r w:rsidR="008B4DB9">
        <w:t xml:space="preserve"> (37 %) a na čtvrtém místě označila</w:t>
      </w:r>
      <w:r>
        <w:t xml:space="preserve"> třetina </w:t>
      </w:r>
      <w:r w:rsidR="008B4DB9">
        <w:t>(34 %) respondentů, že „</w:t>
      </w:r>
      <w:r w:rsidR="008B4DB9" w:rsidRPr="008B4DB9">
        <w:t>Lidé nemají dostatečnou důvěru ve státní instituce, které očkování doporučují</w:t>
      </w:r>
      <w:r w:rsidR="008B4DB9">
        <w:t xml:space="preserve">“. </w:t>
      </w:r>
      <w:r w:rsidR="00AD6A7C">
        <w:t>29 % respondentů se domnívá, že „</w:t>
      </w:r>
      <w:r w:rsidR="00AD6A7C" w:rsidRPr="00AD6A7C">
        <w:t>Stát se nevěnuje osvětě, edukaci a motivaci občanů k</w:t>
      </w:r>
      <w:r w:rsidR="00AD6A7C">
        <w:t> </w:t>
      </w:r>
      <w:r w:rsidR="00AD6A7C" w:rsidRPr="00AD6A7C">
        <w:t>očkování</w:t>
      </w:r>
      <w:r w:rsidR="00AD6A7C">
        <w:t>“, pětina vidí problém v nedostatečném doporučování lékaři nebo lékárníky nebo v neexistujícím adresném zvaní občanů na očkování. Desetina dotázaných se domnívá, že d</w:t>
      </w:r>
      <w:r w:rsidR="00AD6A7C" w:rsidRPr="00AD6A7C">
        <w:t>ůvod</w:t>
      </w:r>
      <w:r w:rsidR="00AD6A7C">
        <w:t>em</w:t>
      </w:r>
      <w:r w:rsidR="00AD6A7C" w:rsidRPr="00AD6A7C">
        <w:t xml:space="preserve"> nízké proočkovanosti</w:t>
      </w:r>
      <w:r w:rsidR="00AD6A7C">
        <w:t xml:space="preserve"> je skutečnost, že v</w:t>
      </w:r>
      <w:r w:rsidR="00AD6A7C" w:rsidRPr="00AD6A7C">
        <w:t xml:space="preserve"> ČR není možné očkování v</w:t>
      </w:r>
      <w:r w:rsidR="00AD6A7C">
        <w:t> </w:t>
      </w:r>
      <w:r w:rsidR="00AD6A7C" w:rsidRPr="00AD6A7C">
        <w:t>lékárnách</w:t>
      </w:r>
      <w:r w:rsidR="00AD6A7C">
        <w:t>.</w:t>
      </w:r>
    </w:p>
    <w:p w14:paraId="6AC007AF" w14:textId="77777777" w:rsidR="005A64E0" w:rsidRDefault="005A64E0" w:rsidP="00D30D70">
      <w:pPr>
        <w:spacing w:after="0"/>
      </w:pPr>
    </w:p>
    <w:p w14:paraId="6AC007B0" w14:textId="77777777" w:rsidR="00A0561A" w:rsidRDefault="00A0561A" w:rsidP="00D30D70">
      <w:pPr>
        <w:spacing w:after="0"/>
      </w:pPr>
    </w:p>
    <w:p w14:paraId="6AC007B1" w14:textId="77777777" w:rsidR="00AC1597" w:rsidRDefault="00AC1597" w:rsidP="00AC1597">
      <w:pPr>
        <w:spacing w:after="0"/>
        <w:rPr>
          <w:b/>
          <w:bCs/>
        </w:rPr>
      </w:pPr>
      <w:r w:rsidRPr="00AC1597">
        <w:rPr>
          <w:b/>
          <w:bCs/>
        </w:rPr>
        <w:t>Metodologie</w:t>
      </w:r>
      <w:r>
        <w:rPr>
          <w:b/>
          <w:bCs/>
        </w:rPr>
        <w:t xml:space="preserve"> </w:t>
      </w:r>
    </w:p>
    <w:p w14:paraId="6AC007B2" w14:textId="77777777" w:rsidR="00AC1597" w:rsidRDefault="00AC1597" w:rsidP="00AC1597">
      <w:pPr>
        <w:spacing w:after="0"/>
      </w:pPr>
      <w:r w:rsidRPr="00D30D70">
        <w:t xml:space="preserve">Výzkum postojů české veřejnosti k očkování proti chřipce realizovala společnost MEDIAN s.r.o. (člen SIMAR) exkluzivně pro </w:t>
      </w:r>
      <w:r>
        <w:t xml:space="preserve">Českou lékárnickou komoru </w:t>
      </w:r>
      <w:r w:rsidRPr="00D30D70">
        <w:t xml:space="preserve">ve dnech 11.– 22. srpna 2022 na panelu </w:t>
      </w:r>
      <w:proofErr w:type="spellStart"/>
      <w:r w:rsidRPr="00D30D70">
        <w:t>adMeter</w:t>
      </w:r>
      <w:proofErr w:type="spellEnd"/>
      <w:r w:rsidRPr="00D30D70">
        <w:t xml:space="preserve">, což je reprezentativní panel na obecnou populaci ČR 15-79 </w:t>
      </w:r>
      <w:proofErr w:type="gramStart"/>
      <w:r w:rsidRPr="00D30D70">
        <w:t>let</w:t>
      </w:r>
      <w:proofErr w:type="gramEnd"/>
      <w:r w:rsidRPr="00D30D70">
        <w:t xml:space="preserve"> a kromě subjektivních výpovědí respondenta je u něj měřena i reálná návštěvnost jednotlivých médií. Celkem bylo internetově dotázáno 1477 respondentů ve věku od 18 let.</w:t>
      </w:r>
    </w:p>
    <w:p w14:paraId="6AC007B3" w14:textId="77777777" w:rsidR="00AC1597" w:rsidRDefault="00AC1597" w:rsidP="00AC1597">
      <w:pPr>
        <w:spacing w:after="0"/>
      </w:pPr>
    </w:p>
    <w:p w14:paraId="6AC007B4" w14:textId="77777777" w:rsidR="00AC1597" w:rsidRDefault="00AC1597" w:rsidP="00AC1597">
      <w:pPr>
        <w:spacing w:after="0"/>
      </w:pPr>
      <w:r w:rsidRPr="00AC1597">
        <w:rPr>
          <w:noProof/>
        </w:rPr>
        <w:drawing>
          <wp:anchor distT="0" distB="0" distL="114300" distR="114300" simplePos="0" relativeHeight="251661312" behindDoc="0" locked="0" layoutInCell="1" allowOverlap="1" wp14:anchorId="6AC007C1" wp14:editId="6AC007C2">
            <wp:simplePos x="0" y="0"/>
            <wp:positionH relativeFrom="margin">
              <wp:posOffset>3350260</wp:posOffset>
            </wp:positionH>
            <wp:positionV relativeFrom="margin">
              <wp:posOffset>5974080</wp:posOffset>
            </wp:positionV>
            <wp:extent cx="3476625" cy="1495425"/>
            <wp:effectExtent l="0" t="0" r="952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4" t="28357" r="6174" b="24777"/>
                    <a:stretch/>
                  </pic:blipFill>
                  <pic:spPr bwMode="auto">
                    <a:xfrm>
                      <a:off x="0" y="0"/>
                      <a:ext cx="34766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Respondenti byli rozděleni do rizikových skupin podle doplňkových otázek (těhotenství, onemocnění srdce a cév, dýchacích cest, plic, astma, onemocnění ledvin nebo jater, diabetes </w:t>
      </w:r>
      <w:proofErr w:type="spellStart"/>
      <w:r>
        <w:t>mellitus</w:t>
      </w:r>
      <w:proofErr w:type="spellEnd"/>
      <w:r>
        <w:t xml:space="preserve">, porucha imunitního systému (včetně HIV/AIDS), </w:t>
      </w:r>
      <w:r w:rsidRPr="00AC1597">
        <w:t>zdravotnický pracovník</w:t>
      </w:r>
      <w:r>
        <w:t>, děti v domácnosti) </w:t>
      </w:r>
    </w:p>
    <w:p w14:paraId="6AC007B5" w14:textId="77777777" w:rsidR="00AC1597" w:rsidRDefault="00AC1597" w:rsidP="00AC1597">
      <w:pPr>
        <w:spacing w:after="0"/>
      </w:pPr>
      <w:r>
        <w:t xml:space="preserve">V 1. skupině „respondent osobně“ jsou ti, kteří mají sledované zdravotní problémy a/nebo pracují ve zdravotnictví a/nebo jde o těhotnou ženu (bez ohledu na věk a děti v domácnosti). </w:t>
      </w:r>
    </w:p>
    <w:p w14:paraId="6AC007B6" w14:textId="77777777" w:rsidR="00AC1597" w:rsidRDefault="00AC1597" w:rsidP="00AC1597">
      <w:pPr>
        <w:spacing w:after="0"/>
      </w:pPr>
      <w:r>
        <w:t xml:space="preserve">Ve 2. skupině je v rizikové skupině sám respondent </w:t>
      </w:r>
      <w:r>
        <w:br/>
        <w:t xml:space="preserve">i žije s takovou osobou v domácnosti. </w:t>
      </w:r>
    </w:p>
    <w:p w14:paraId="6AC007B7" w14:textId="77777777" w:rsidR="00AC1597" w:rsidRDefault="00AC1597" w:rsidP="00AC1597">
      <w:pPr>
        <w:spacing w:after="0"/>
      </w:pPr>
      <w:r>
        <w:t xml:space="preserve">Ve 3. skupině sám respondent tyto podmínky nesplňuje, ale žije s takovou osobou v domácnosti. </w:t>
      </w:r>
    </w:p>
    <w:p w14:paraId="6AC007B8" w14:textId="77777777" w:rsidR="00AC1597" w:rsidRDefault="00AC1597" w:rsidP="00AC1597">
      <w:pPr>
        <w:spacing w:after="0"/>
      </w:pPr>
      <w:r>
        <w:t xml:space="preserve">Ve 4. skupině nikdo nesplňuje podmínky, ale respondent žije s dětmi. </w:t>
      </w:r>
    </w:p>
    <w:p w14:paraId="6AC007B9" w14:textId="77777777" w:rsidR="00AC1597" w:rsidRDefault="00AC1597" w:rsidP="00AC1597">
      <w:pPr>
        <w:spacing w:after="0"/>
      </w:pPr>
      <w:r>
        <w:t>V 5. skupině nikdo nesplňuje podmínky, ale respondentovi je 65 a více let.</w:t>
      </w:r>
    </w:p>
    <w:p w14:paraId="6AC007BA" w14:textId="77777777" w:rsidR="00D30D70" w:rsidRPr="00F23C6E" w:rsidRDefault="00D30D70" w:rsidP="00F23C6E">
      <w:pPr>
        <w:spacing w:after="0"/>
      </w:pPr>
    </w:p>
    <w:sectPr w:rsidR="00D30D70" w:rsidRPr="00F23C6E" w:rsidSect="0061379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A2C4" w14:textId="77777777" w:rsidR="00E70950" w:rsidRDefault="00E70950" w:rsidP="0061379C">
      <w:pPr>
        <w:spacing w:after="0" w:line="240" w:lineRule="auto"/>
      </w:pPr>
      <w:r>
        <w:separator/>
      </w:r>
    </w:p>
  </w:endnote>
  <w:endnote w:type="continuationSeparator" w:id="0">
    <w:p w14:paraId="57DBC352" w14:textId="77777777" w:rsidR="00E70950" w:rsidRDefault="00E70950" w:rsidP="0061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040433"/>
      <w:docPartObj>
        <w:docPartGallery w:val="Page Numbers (Bottom of Page)"/>
        <w:docPartUnique/>
      </w:docPartObj>
    </w:sdtPr>
    <w:sdtEndPr/>
    <w:sdtContent>
      <w:p w14:paraId="6AC007C8" w14:textId="77777777" w:rsidR="00DE5F88" w:rsidRDefault="00DE5F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6D">
          <w:rPr>
            <w:noProof/>
          </w:rPr>
          <w:t>1</w:t>
        </w:r>
        <w:r>
          <w:fldChar w:fldCharType="end"/>
        </w:r>
      </w:p>
    </w:sdtContent>
  </w:sdt>
  <w:p w14:paraId="6AC007C9" w14:textId="77777777" w:rsidR="00146889" w:rsidRDefault="00146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70AD" w14:textId="77777777" w:rsidR="00E70950" w:rsidRDefault="00E70950" w:rsidP="0061379C">
      <w:pPr>
        <w:spacing w:after="0" w:line="240" w:lineRule="auto"/>
      </w:pPr>
      <w:r>
        <w:separator/>
      </w:r>
    </w:p>
  </w:footnote>
  <w:footnote w:type="continuationSeparator" w:id="0">
    <w:p w14:paraId="2AAB1F51" w14:textId="77777777" w:rsidR="00E70950" w:rsidRDefault="00E70950" w:rsidP="0061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C3E"/>
    <w:multiLevelType w:val="hybridMultilevel"/>
    <w:tmpl w:val="96AE20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31"/>
    <w:rsid w:val="000A6264"/>
    <w:rsid w:val="000D0624"/>
    <w:rsid w:val="000D3A98"/>
    <w:rsid w:val="00146889"/>
    <w:rsid w:val="001B2185"/>
    <w:rsid w:val="0039729C"/>
    <w:rsid w:val="005077DF"/>
    <w:rsid w:val="00551021"/>
    <w:rsid w:val="00561F03"/>
    <w:rsid w:val="005A64E0"/>
    <w:rsid w:val="005B7ED0"/>
    <w:rsid w:val="0061379C"/>
    <w:rsid w:val="00645295"/>
    <w:rsid w:val="006C25DE"/>
    <w:rsid w:val="006D12D3"/>
    <w:rsid w:val="006D4E19"/>
    <w:rsid w:val="007E5749"/>
    <w:rsid w:val="0082269A"/>
    <w:rsid w:val="00876572"/>
    <w:rsid w:val="008B4DB9"/>
    <w:rsid w:val="00982F5C"/>
    <w:rsid w:val="009C4431"/>
    <w:rsid w:val="009E66F7"/>
    <w:rsid w:val="00A0561A"/>
    <w:rsid w:val="00A5586D"/>
    <w:rsid w:val="00A62CBE"/>
    <w:rsid w:val="00A70214"/>
    <w:rsid w:val="00AC1597"/>
    <w:rsid w:val="00AD6A7C"/>
    <w:rsid w:val="00AE6E19"/>
    <w:rsid w:val="00B10278"/>
    <w:rsid w:val="00B26402"/>
    <w:rsid w:val="00B86D3D"/>
    <w:rsid w:val="00BC675D"/>
    <w:rsid w:val="00C63D1E"/>
    <w:rsid w:val="00CA1B82"/>
    <w:rsid w:val="00D30D70"/>
    <w:rsid w:val="00DE5F88"/>
    <w:rsid w:val="00E055CF"/>
    <w:rsid w:val="00E357C4"/>
    <w:rsid w:val="00E70950"/>
    <w:rsid w:val="00EF440F"/>
    <w:rsid w:val="00F23C6E"/>
    <w:rsid w:val="00F45B3C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0078C"/>
  <w15:docId w15:val="{8D5DCD71-B4DE-4FE2-9BD0-CE2CA927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6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6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6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79C"/>
  </w:style>
  <w:style w:type="paragraph" w:styleId="Zpat">
    <w:name w:val="footer"/>
    <w:basedOn w:val="Normln"/>
    <w:link w:val="ZpatChar"/>
    <w:uiPriority w:val="99"/>
    <w:unhideWhenUsed/>
    <w:rsid w:val="0061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79C"/>
  </w:style>
  <w:style w:type="character" w:customStyle="1" w:styleId="Nadpis1Char">
    <w:name w:val="Nadpis 1 Char"/>
    <w:basedOn w:val="Standardnpsmoodstavce"/>
    <w:link w:val="Nadpis1"/>
    <w:uiPriority w:val="9"/>
    <w:rsid w:val="0014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468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68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D7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C15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3894862358915319E-2"/>
          <c:y val="0.15235132193841625"/>
          <c:w val="0.52180999568265451"/>
          <c:h val="0.81241149734331974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rgbClr val="9CC2C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A-4F08-A950-1163938E591E}"/>
              </c:ext>
            </c:extLst>
          </c:dPt>
          <c:dPt>
            <c:idx val="1"/>
            <c:bubble3D val="0"/>
            <c:spPr>
              <a:solidFill>
                <a:srgbClr val="08678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6DA-4F08-A950-1163938E591E}"/>
              </c:ext>
            </c:extLst>
          </c:dPt>
          <c:dPt>
            <c:idx val="2"/>
            <c:bubble3D val="0"/>
            <c:spPr>
              <a:solidFill>
                <a:srgbClr val="EA696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A-4F08-A950-1163938E591E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DE-42F9-939C-0D48C76319F5}"/>
              </c:ext>
            </c:extLst>
          </c:dPt>
          <c:dPt>
            <c:idx val="4"/>
            <c:bubble3D val="0"/>
            <c:spPr>
              <a:solidFill>
                <a:srgbClr val="AF424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982-46DB-B776-A967762D1054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Je to banální onemocnění, „rýmička“, kterou většinou přecházím</c:v>
                </c:pt>
                <c:pt idx="1">
                  <c:v>Je to nachlazení, které někdy znamená pár dní v posteli, ale nic vážného</c:v>
                </c:pt>
                <c:pt idx="2">
                  <c:v>Je to onemocnění, které může mít vážný průběh, ale kterého se osobně nebojím, protože ohrožuje jen seniory</c:v>
                </c:pt>
                <c:pt idx="3">
                  <c:v>Je to vážné onemocnění, které může mít za následky i smrt, zejména u seniorů a lidí s chronickým onemocněním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5.8</c:v>
                </c:pt>
                <c:pt idx="1">
                  <c:v>27.3</c:v>
                </c:pt>
                <c:pt idx="2">
                  <c:v>27.7</c:v>
                </c:pt>
                <c:pt idx="3">
                  <c:v>39.299999999999997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A-4F08-A950-1163938E5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078656384297996"/>
          <c:y val="9.1598062437317274E-2"/>
          <c:w val="0.44468880890813306"/>
          <c:h val="0.88135373322237165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  <c:extLst/>
  </c:chart>
  <c:spPr>
    <a:noFill/>
    <a:ln>
      <a:noFill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1044050115745076E-2"/>
          <c:y val="3.5480523753333562E-2"/>
          <c:w val="0.50382784197277242"/>
          <c:h val="0.95189455627466901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Celkem (N=1477)</c:v>
                </c:pt>
              </c:strCache>
            </c:strRef>
          </c:tx>
          <c:dPt>
            <c:idx val="0"/>
            <c:bubble3D val="0"/>
            <c:spPr>
              <a:solidFill>
                <a:srgbClr val="1A936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A-4F08-A950-1163938E591E}"/>
              </c:ext>
            </c:extLst>
          </c:dPt>
          <c:dPt>
            <c:idx val="1"/>
            <c:bubble3D val="0"/>
            <c:spPr>
              <a:solidFill>
                <a:srgbClr val="6BBA8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6DA-4F08-A950-1163938E591E}"/>
              </c:ext>
            </c:extLst>
          </c:dPt>
          <c:dPt>
            <c:idx val="2"/>
            <c:bubble3D val="0"/>
            <c:spPr>
              <a:solidFill>
                <a:srgbClr val="FFFFFF">
                  <a:lumMod val="75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A-4F08-A950-1163938E591E}"/>
              </c:ext>
            </c:extLst>
          </c:dPt>
          <c:dPt>
            <c:idx val="3"/>
            <c:bubble3D val="0"/>
            <c:spPr>
              <a:solidFill>
                <a:srgbClr val="EA696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DE-42F9-939C-0D48C76319F5}"/>
              </c:ext>
            </c:extLst>
          </c:dPt>
          <c:dPt>
            <c:idx val="4"/>
            <c:bubble3D val="0"/>
            <c:spPr>
              <a:solidFill>
                <a:srgbClr val="AF424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982-46DB-B776-A967762D1054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Určitě ano</c:v>
                </c:pt>
                <c:pt idx="1">
                  <c:v>Spíše ano</c:v>
                </c:pt>
                <c:pt idx="2">
                  <c:v>Nevím</c:v>
                </c:pt>
                <c:pt idx="3">
                  <c:v>Spíše ne</c:v>
                </c:pt>
                <c:pt idx="4">
                  <c:v>Určitě ne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13.8</c:v>
                </c:pt>
                <c:pt idx="1">
                  <c:v>8.4</c:v>
                </c:pt>
                <c:pt idx="2">
                  <c:v>7.7</c:v>
                </c:pt>
                <c:pt idx="3">
                  <c:v>24.6</c:v>
                </c:pt>
                <c:pt idx="4">
                  <c:v>45.5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A-4F08-A950-1163938E5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5"/>
      </c:doughnut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53243336249635465"/>
          <c:y val="0.24892941013952205"/>
          <c:w val="0.33288743073782445"/>
          <c:h val="0.56053598563337492"/>
        </c:manualLayout>
      </c:layout>
      <c:overlay val="0"/>
      <c:txPr>
        <a:bodyPr/>
        <a:lstStyle/>
        <a:p>
          <a:pPr>
            <a:defRPr lang="cs-CZ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/>
  </c:chart>
  <c:spPr>
    <a:noFill/>
    <a:ln>
      <a:noFill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lastní 4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7F7F7F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lastní 4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7F7F7F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Vančurová Blanka</dc:creator>
  <cp:lastModifiedBy>Gabriela Stepanyova</cp:lastModifiedBy>
  <cp:revision>2</cp:revision>
  <cp:lastPrinted>2022-09-30T16:30:00Z</cp:lastPrinted>
  <dcterms:created xsi:type="dcterms:W3CDTF">2022-10-03T14:05:00Z</dcterms:created>
  <dcterms:modified xsi:type="dcterms:W3CDTF">2022-10-03T14:05:00Z</dcterms:modified>
</cp:coreProperties>
</file>